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C80E0">
      <w:pPr>
        <w:pStyle w:val="2"/>
        <w:spacing w:before="0" w:after="0" w:line="240" w:lineRule="auto"/>
        <w:jc w:val="center"/>
        <w:rPr>
          <w:rFonts w:hint="eastAsia" w:eastAsiaTheme="majorEastAsia"/>
          <w:sz w:val="32"/>
          <w:szCs w:val="32"/>
          <w:lang w:eastAsia="zh-CN"/>
        </w:rPr>
      </w:pPr>
      <w:r>
        <w:rPr>
          <w:rFonts w:hint="eastAsia"/>
          <w:sz w:val="32"/>
          <w:szCs w:val="32"/>
        </w:rPr>
        <w:t>采购</w:t>
      </w:r>
      <w:r>
        <w:rPr>
          <w:rFonts w:hint="eastAsia"/>
          <w:sz w:val="32"/>
          <w:szCs w:val="32"/>
          <w:lang w:eastAsia="zh-CN"/>
        </w:rPr>
        <w:t>需求参数</w:t>
      </w:r>
    </w:p>
    <w:p w14:paraId="2F83BC0D">
      <w:pPr>
        <w:pStyle w:val="2"/>
        <w:spacing w:before="0" w:after="0" w:line="240" w:lineRule="auto"/>
        <w:jc w:val="left"/>
        <w:rPr>
          <w:rFonts w:hint="eastAsia" w:ascii="宋体" w:hAnsi="宋体" w:eastAsia="宋体" w:cs="宋体"/>
          <w:b w:val="0"/>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UPS主机</w:t>
      </w:r>
      <w:r>
        <w:rPr>
          <w:rFonts w:hint="eastAsia" w:ascii="宋体" w:hAnsi="宋体" w:eastAsia="宋体" w:cs="宋体"/>
          <w:b w:val="0"/>
          <w:sz w:val="24"/>
          <w:szCs w:val="24"/>
          <w:lang w:eastAsia="zh-CN"/>
        </w:rPr>
        <w:t>品牌</w:t>
      </w:r>
      <w:r>
        <w:rPr>
          <w:rFonts w:hint="eastAsia" w:ascii="宋体" w:hAnsi="宋体" w:eastAsia="宋体" w:cs="宋体"/>
          <w:b w:val="0"/>
          <w:sz w:val="24"/>
          <w:szCs w:val="24"/>
        </w:rPr>
        <w:t>：科华、科士达、维谛</w:t>
      </w:r>
      <w:r>
        <w:rPr>
          <w:rFonts w:hint="eastAsia" w:ascii="宋体" w:hAnsi="宋体" w:eastAsia="宋体" w:cs="宋体"/>
          <w:b w:val="0"/>
          <w:sz w:val="24"/>
          <w:szCs w:val="24"/>
          <w:lang w:eastAsia="zh-CN"/>
        </w:rPr>
        <w:t>或相当于</w:t>
      </w:r>
    </w:p>
    <w:p w14:paraId="10F82158">
      <w:pPr>
        <w:pStyle w:val="2"/>
        <w:spacing w:before="0" w:after="0"/>
        <w:jc w:val="left"/>
        <w:rPr>
          <w:rFonts w:hint="eastAsia" w:ascii="宋体" w:hAnsi="宋体" w:eastAsia="宋体" w:cs="宋体"/>
          <w:b w:val="0"/>
          <w:sz w:val="24"/>
          <w:szCs w:val="24"/>
          <w:lang w:eastAsia="zh-CN"/>
        </w:rPr>
      </w:pP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蓄电池品牌：浦洛斯、汤浅、理士、伊顿、维谛</w:t>
      </w:r>
      <w:r>
        <w:rPr>
          <w:rFonts w:hint="eastAsia" w:ascii="宋体" w:hAnsi="宋体" w:eastAsia="宋体" w:cs="宋体"/>
          <w:b w:val="0"/>
          <w:sz w:val="24"/>
          <w:szCs w:val="24"/>
          <w:lang w:eastAsia="zh-CN"/>
        </w:rPr>
        <w:t>或相当于</w:t>
      </w:r>
    </w:p>
    <w:p w14:paraId="632CCF0D">
      <w:pPr>
        <w:jc w:val="center"/>
        <w:rPr>
          <w:rFonts w:hint="eastAsia" w:ascii="宋体" w:hAnsi="宋体" w:eastAsia="宋体" w:cs="宋体"/>
          <w:sz w:val="32"/>
          <w:szCs w:val="32"/>
        </w:rPr>
      </w:pPr>
      <w:r>
        <w:rPr>
          <w:rFonts w:hint="eastAsia" w:ascii="宋体" w:hAnsi="宋体" w:eastAsia="宋体" w:cs="宋体"/>
          <w:sz w:val="32"/>
          <w:szCs w:val="32"/>
        </w:rPr>
        <w:t>UPS工频机基本参数</w:t>
      </w:r>
    </w:p>
    <w:p w14:paraId="7340AEDB">
      <w:pPr>
        <w:rPr>
          <w:rFonts w:hint="eastAsia" w:ascii="宋体" w:hAnsi="宋体" w:eastAsia="宋体" w:cs="宋体"/>
          <w:sz w:val="24"/>
          <w:szCs w:val="24"/>
        </w:rPr>
      </w:pPr>
      <w:r>
        <w:rPr>
          <w:rFonts w:hint="eastAsia" w:ascii="宋体" w:hAnsi="宋体" w:eastAsia="宋体" w:cs="宋体"/>
          <w:sz w:val="24"/>
          <w:szCs w:val="24"/>
        </w:rPr>
        <w:t>1. 额定容量：20kVA/18kW</w:t>
      </w:r>
    </w:p>
    <w:p w14:paraId="4CFB3877">
      <w:pPr>
        <w:rPr>
          <w:rFonts w:hint="eastAsia" w:ascii="宋体" w:hAnsi="宋体" w:eastAsia="宋体" w:cs="宋体"/>
          <w:sz w:val="24"/>
          <w:szCs w:val="24"/>
        </w:rPr>
      </w:pPr>
      <w:r>
        <w:rPr>
          <w:rFonts w:hint="eastAsia" w:ascii="宋体" w:hAnsi="宋体" w:eastAsia="宋体" w:cs="宋体"/>
          <w:sz w:val="24"/>
          <w:szCs w:val="24"/>
        </w:rPr>
        <w:t>2. 主路输入规格</w:t>
      </w:r>
    </w:p>
    <w:p w14:paraId="18F7953B">
      <w:pPr>
        <w:rPr>
          <w:rFonts w:hint="eastAsia" w:ascii="宋体" w:hAnsi="宋体" w:eastAsia="宋体" w:cs="宋体"/>
          <w:sz w:val="24"/>
          <w:szCs w:val="24"/>
        </w:rPr>
      </w:pPr>
      <w:r>
        <w:rPr>
          <w:rFonts w:hint="eastAsia" w:ascii="宋体" w:hAnsi="宋体" w:eastAsia="宋体" w:cs="宋体"/>
          <w:sz w:val="24"/>
          <w:szCs w:val="24"/>
        </w:rPr>
        <w:t xml:space="preserve">    额定输入电压:三相380VAC</w:t>
      </w:r>
    </w:p>
    <w:p w14:paraId="6383287E">
      <w:pPr>
        <w:rPr>
          <w:rFonts w:hint="eastAsia" w:ascii="宋体" w:hAnsi="宋体" w:eastAsia="宋体" w:cs="宋体"/>
          <w:sz w:val="24"/>
          <w:szCs w:val="24"/>
        </w:rPr>
      </w:pPr>
      <w:r>
        <w:rPr>
          <w:rFonts w:hint="eastAsia" w:ascii="宋体" w:hAnsi="宋体" w:eastAsia="宋体" w:cs="宋体"/>
          <w:sz w:val="24"/>
          <w:szCs w:val="24"/>
        </w:rPr>
        <w:t xml:space="preserve">    电压范围： ±25%</w:t>
      </w:r>
    </w:p>
    <w:p w14:paraId="7024197E">
      <w:pPr>
        <w:rPr>
          <w:rFonts w:hint="eastAsia" w:ascii="宋体" w:hAnsi="宋体" w:eastAsia="宋体" w:cs="宋体"/>
          <w:sz w:val="24"/>
          <w:szCs w:val="24"/>
        </w:rPr>
      </w:pPr>
      <w:r>
        <w:rPr>
          <w:rFonts w:hint="eastAsia" w:ascii="宋体" w:hAnsi="宋体" w:eastAsia="宋体" w:cs="宋体"/>
          <w:sz w:val="24"/>
          <w:szCs w:val="24"/>
        </w:rPr>
        <w:t xml:space="preserve">    频率范围：50/60Hz ±10%</w:t>
      </w:r>
    </w:p>
    <w:p w14:paraId="426BF09D">
      <w:pPr>
        <w:rPr>
          <w:rFonts w:hint="eastAsia" w:ascii="宋体" w:hAnsi="宋体" w:eastAsia="宋体" w:cs="宋体"/>
          <w:sz w:val="24"/>
          <w:szCs w:val="24"/>
        </w:rPr>
      </w:pPr>
      <w:r>
        <w:rPr>
          <w:rFonts w:hint="eastAsia" w:ascii="宋体" w:hAnsi="宋体" w:eastAsia="宋体" w:cs="宋体"/>
          <w:sz w:val="24"/>
          <w:szCs w:val="24"/>
        </w:rPr>
        <w:t xml:space="preserve">    输入功率因数：≥0.97</w:t>
      </w:r>
    </w:p>
    <w:p w14:paraId="50E119F9">
      <w:pPr>
        <w:ind w:firstLine="480" w:firstLineChars="200"/>
        <w:rPr>
          <w:rFonts w:hint="eastAsia" w:ascii="宋体" w:hAnsi="宋体" w:eastAsia="宋体" w:cs="宋体"/>
          <w:sz w:val="24"/>
          <w:szCs w:val="24"/>
        </w:rPr>
      </w:pPr>
      <w:r>
        <w:rPr>
          <w:rFonts w:hint="eastAsia" w:ascii="宋体" w:hAnsi="宋体" w:eastAsia="宋体" w:cs="宋体"/>
          <w:sz w:val="24"/>
          <w:szCs w:val="24"/>
        </w:rPr>
        <w:t>接线制式:三相五线</w:t>
      </w:r>
    </w:p>
    <w:p w14:paraId="6178AABD">
      <w:pPr>
        <w:tabs>
          <w:tab w:val="left" w:pos="312"/>
        </w:tabs>
        <w:rPr>
          <w:rFonts w:hint="eastAsia" w:ascii="宋体" w:hAnsi="宋体" w:eastAsia="宋体" w:cs="宋体"/>
          <w:sz w:val="24"/>
          <w:szCs w:val="24"/>
        </w:rPr>
      </w:pPr>
      <w:r>
        <w:rPr>
          <w:rFonts w:hint="eastAsia" w:ascii="宋体" w:hAnsi="宋体" w:eastAsia="宋体" w:cs="宋体"/>
          <w:sz w:val="24"/>
          <w:szCs w:val="24"/>
        </w:rPr>
        <w:t>3.旁路输入规格</w:t>
      </w:r>
    </w:p>
    <w:p w14:paraId="1276EAFA">
      <w:pPr>
        <w:rPr>
          <w:rFonts w:hint="eastAsia" w:ascii="宋体" w:hAnsi="宋体" w:eastAsia="宋体" w:cs="宋体"/>
          <w:sz w:val="24"/>
          <w:szCs w:val="24"/>
        </w:rPr>
      </w:pPr>
      <w:r>
        <w:rPr>
          <w:rFonts w:hint="eastAsia" w:ascii="宋体" w:hAnsi="宋体" w:eastAsia="宋体" w:cs="宋体"/>
          <w:sz w:val="24"/>
          <w:szCs w:val="24"/>
        </w:rPr>
        <w:t xml:space="preserve">     额定输入电压: 220VAC</w:t>
      </w:r>
    </w:p>
    <w:p w14:paraId="673D1FF5">
      <w:pPr>
        <w:rPr>
          <w:rFonts w:hint="eastAsia" w:ascii="宋体" w:hAnsi="宋体" w:eastAsia="宋体" w:cs="宋体"/>
          <w:sz w:val="24"/>
          <w:szCs w:val="24"/>
        </w:rPr>
      </w:pPr>
      <w:r>
        <w:rPr>
          <w:rFonts w:hint="eastAsia" w:ascii="宋体" w:hAnsi="宋体" w:eastAsia="宋体" w:cs="宋体"/>
          <w:sz w:val="24"/>
          <w:szCs w:val="24"/>
        </w:rPr>
        <w:t xml:space="preserve">     接线制式:单相三线</w:t>
      </w:r>
    </w:p>
    <w:p w14:paraId="5AA4AA06">
      <w:pPr>
        <w:rPr>
          <w:rFonts w:hint="eastAsia" w:ascii="宋体" w:hAnsi="宋体" w:eastAsia="宋体" w:cs="宋体"/>
          <w:sz w:val="24"/>
          <w:szCs w:val="24"/>
        </w:rPr>
      </w:pPr>
      <w:r>
        <w:rPr>
          <w:rFonts w:hint="eastAsia" w:ascii="宋体" w:hAnsi="宋体" w:eastAsia="宋体" w:cs="宋体"/>
          <w:sz w:val="24"/>
          <w:szCs w:val="24"/>
        </w:rPr>
        <w:t xml:space="preserve">     旁路同步跟踪范围:50/60Hz ±5%</w:t>
      </w:r>
    </w:p>
    <w:p w14:paraId="0ED6A20C">
      <w:pPr>
        <w:rPr>
          <w:rFonts w:hint="eastAsia" w:ascii="宋体" w:hAnsi="宋体" w:eastAsia="宋体" w:cs="宋体"/>
          <w:sz w:val="24"/>
          <w:szCs w:val="24"/>
        </w:rPr>
      </w:pPr>
      <w:r>
        <w:rPr>
          <w:rFonts w:hint="eastAsia" w:ascii="宋体" w:hAnsi="宋体" w:eastAsia="宋体" w:cs="宋体"/>
          <w:sz w:val="24"/>
          <w:szCs w:val="24"/>
        </w:rPr>
        <w:t>4. 输出规格</w:t>
      </w:r>
    </w:p>
    <w:p w14:paraId="4D4FEB4F">
      <w:pPr>
        <w:rPr>
          <w:rFonts w:hint="eastAsia" w:ascii="宋体" w:hAnsi="宋体" w:eastAsia="宋体" w:cs="宋体"/>
          <w:sz w:val="24"/>
          <w:szCs w:val="24"/>
        </w:rPr>
      </w:pPr>
      <w:r>
        <w:rPr>
          <w:rFonts w:hint="eastAsia" w:ascii="宋体" w:hAnsi="宋体" w:eastAsia="宋体" w:cs="宋体"/>
          <w:sz w:val="24"/>
          <w:szCs w:val="24"/>
        </w:rPr>
        <w:t xml:space="preserve">    电压： 220VAC±0.5%或230±5%</w:t>
      </w:r>
    </w:p>
    <w:p w14:paraId="3FC32D56">
      <w:pPr>
        <w:ind w:firstLine="420"/>
        <w:rPr>
          <w:rFonts w:hint="eastAsia" w:ascii="宋体" w:hAnsi="宋体" w:eastAsia="宋体" w:cs="宋体"/>
          <w:sz w:val="24"/>
          <w:szCs w:val="24"/>
        </w:rPr>
      </w:pPr>
      <w:r>
        <w:rPr>
          <w:rFonts w:hint="eastAsia" w:ascii="宋体" w:hAnsi="宋体" w:eastAsia="宋体" w:cs="宋体"/>
          <w:sz w:val="24"/>
          <w:szCs w:val="24"/>
        </w:rPr>
        <w:t>输出功率因数: 0.8</w:t>
      </w:r>
    </w:p>
    <w:p w14:paraId="4BCF5FBC">
      <w:pPr>
        <w:ind w:firstLine="480" w:firstLineChars="200"/>
        <w:rPr>
          <w:rFonts w:hint="eastAsia" w:ascii="宋体" w:hAnsi="宋体" w:eastAsia="宋体" w:cs="宋体"/>
          <w:sz w:val="24"/>
          <w:szCs w:val="24"/>
        </w:rPr>
      </w:pPr>
      <w:r>
        <w:rPr>
          <w:rFonts w:hint="eastAsia" w:ascii="宋体" w:hAnsi="宋体" w:eastAsia="宋体" w:cs="宋体"/>
          <w:sz w:val="24"/>
          <w:szCs w:val="24"/>
        </w:rPr>
        <w:t>频率: 50/60Hz ±0.5%</w:t>
      </w:r>
    </w:p>
    <w:p w14:paraId="4BA0925D">
      <w:pPr>
        <w:ind w:firstLine="480" w:firstLineChars="200"/>
        <w:rPr>
          <w:rFonts w:hint="eastAsia" w:ascii="宋体" w:hAnsi="宋体" w:eastAsia="宋体" w:cs="宋体"/>
          <w:sz w:val="24"/>
          <w:szCs w:val="24"/>
        </w:rPr>
      </w:pPr>
      <w:r>
        <w:rPr>
          <w:rFonts w:hint="eastAsia" w:ascii="宋体" w:hAnsi="宋体" w:eastAsia="宋体" w:cs="宋体"/>
          <w:sz w:val="24"/>
          <w:szCs w:val="24"/>
        </w:rPr>
        <w:t>过载能力:负载≤125%，10min;≤150%，200ms</w:t>
      </w:r>
    </w:p>
    <w:p w14:paraId="27661216">
      <w:pPr>
        <w:ind w:firstLine="480" w:firstLineChars="200"/>
        <w:rPr>
          <w:rFonts w:hint="eastAsia" w:ascii="宋体" w:hAnsi="宋体" w:eastAsia="宋体" w:cs="宋体"/>
          <w:sz w:val="24"/>
          <w:szCs w:val="24"/>
        </w:rPr>
      </w:pPr>
      <w:r>
        <w:rPr>
          <w:rFonts w:hint="eastAsia" w:ascii="宋体" w:hAnsi="宋体" w:eastAsia="宋体" w:cs="宋体"/>
          <w:sz w:val="24"/>
          <w:szCs w:val="24"/>
        </w:rPr>
        <w:t>切换时间:0ms</w:t>
      </w:r>
    </w:p>
    <w:p w14:paraId="63272A64">
      <w:pPr>
        <w:numPr>
          <w:ilvl w:val="0"/>
          <w:numId w:val="1"/>
        </w:numPr>
        <w:rPr>
          <w:rFonts w:hint="eastAsia" w:ascii="宋体" w:hAnsi="宋体" w:eastAsia="宋体" w:cs="宋体"/>
          <w:sz w:val="24"/>
          <w:szCs w:val="24"/>
        </w:rPr>
      </w:pPr>
      <w:r>
        <w:rPr>
          <w:rFonts w:hint="eastAsia" w:ascii="宋体" w:hAnsi="宋体" w:eastAsia="宋体" w:cs="宋体"/>
          <w:sz w:val="24"/>
          <w:szCs w:val="24"/>
        </w:rPr>
        <w:t>告警功能:输出过载、市电异常、UPS故障、电池欠压等多种告警并支持历史记录查询功能</w:t>
      </w:r>
    </w:p>
    <w:p w14:paraId="6F55D9D2">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rPr>
        <w:t>保护功能:输出短路、过载、过温、电池欠压、输出过欠压</w:t>
      </w:r>
    </w:p>
    <w:p w14:paraId="2AA8EE3F">
      <w:pPr>
        <w:numPr>
          <w:ilvl w:val="0"/>
          <w:numId w:val="1"/>
        </w:numPr>
        <w:rPr>
          <w:rFonts w:hint="eastAsia" w:ascii="宋体" w:hAnsi="宋体" w:eastAsia="宋体" w:cs="宋体"/>
          <w:sz w:val="24"/>
          <w:szCs w:val="24"/>
        </w:rPr>
      </w:pPr>
      <w:r>
        <w:rPr>
          <w:rFonts w:hint="eastAsia" w:ascii="宋体" w:hAnsi="宋体" w:eastAsia="宋体" w:cs="宋体"/>
          <w:sz w:val="24"/>
          <w:szCs w:val="24"/>
          <w:lang w:val="en-US" w:eastAsia="zh-CN"/>
        </w:rPr>
        <w:t>质保期限不少于三年</w:t>
      </w:r>
    </w:p>
    <w:p w14:paraId="0EB195D3">
      <w:pPr>
        <w:pStyle w:val="2"/>
        <w:jc w:val="center"/>
        <w:rPr>
          <w:rFonts w:hint="eastAsia" w:ascii="宋体" w:hAnsi="宋体" w:eastAsia="宋体" w:cs="宋体"/>
          <w:sz w:val="32"/>
          <w:szCs w:val="32"/>
        </w:rPr>
      </w:pPr>
      <w:r>
        <w:rPr>
          <w:rFonts w:hint="eastAsia" w:ascii="宋体" w:hAnsi="宋体" w:eastAsia="宋体" w:cs="宋体"/>
          <w:sz w:val="32"/>
          <w:szCs w:val="32"/>
        </w:rPr>
        <w:t>蓄电池参数</w:t>
      </w:r>
    </w:p>
    <w:p w14:paraId="3A7AD5E1">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一、蓄电池技术指标具体要求：</w:t>
      </w:r>
    </w:p>
    <w:p w14:paraId="1DAABF2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1、单节蓄电池电压等级：12V100AH净重≥30KG,不接受OEM/ODM产品。</w:t>
      </w:r>
    </w:p>
    <w:p w14:paraId="00A4333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2、蓄电池设计浮充运行寿命不低于16年(环境温度为 25C时)，到货的蓄电池为出厂3个月内的近期产品。</w:t>
      </w:r>
    </w:p>
    <w:p w14:paraId="1379553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bookmarkStart w:id="0" w:name="_Hlk192862415"/>
      <w:r>
        <w:rPr>
          <w:rFonts w:hint="eastAsia" w:ascii="宋体" w:hAnsi="宋体" w:eastAsia="宋体" w:cs="宋体"/>
          <w:sz w:val="24"/>
          <w:szCs w:val="24"/>
        </w:rPr>
        <w:t>、</w:t>
      </w:r>
      <w:bookmarkEnd w:id="0"/>
      <w:bookmarkStart w:id="1" w:name="_Hlk192862561"/>
      <w:r>
        <w:rPr>
          <w:rFonts w:hint="eastAsia" w:ascii="宋体" w:hAnsi="宋体" w:eastAsia="宋体" w:cs="宋体"/>
          <w:sz w:val="24"/>
          <w:szCs w:val="24"/>
        </w:rPr>
        <w:t>蓄电池生产企业达到</w:t>
      </w:r>
      <w:bookmarkEnd w:id="1"/>
      <w:bookmarkStart w:id="2" w:name="_Hlk192862458"/>
      <w:r>
        <w:rPr>
          <w:rFonts w:hint="eastAsia" w:ascii="宋体" w:hAnsi="宋体" w:eastAsia="宋体" w:cs="宋体"/>
          <w:sz w:val="24"/>
          <w:szCs w:val="24"/>
        </w:rPr>
        <w:t>中华人民共和国工业和信息化部颁布</w:t>
      </w:r>
      <w:bookmarkEnd w:id="2"/>
      <w:r>
        <w:rPr>
          <w:rFonts w:hint="eastAsia" w:ascii="宋体" w:hAnsi="宋体" w:eastAsia="宋体" w:cs="宋体"/>
          <w:sz w:val="24"/>
          <w:szCs w:val="24"/>
        </w:rPr>
        <w:t>的《铅蓄电池行业规范条件（2015年本）》的要求，须提供蓄电池制造商在国家工信部网站上的符合《铅蓄电池行业规范条件（2015年本）》企业名单的公告截图。</w:t>
      </w:r>
    </w:p>
    <w:p w14:paraId="220723B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4、蓄电池生产企业达到中华人民共和国工业和信息化部颁布的国家级绿色工厂。（提供证明文件）</w:t>
      </w:r>
    </w:p>
    <w:p w14:paraId="63BB064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5、蓄电池必须采用全密封防泄漏结构，外壳无异常变形、裂纹及污迹，上盖及端子无损伤，正常工作时无酸雾溢出。</w:t>
      </w:r>
    </w:p>
    <w:p w14:paraId="183DA49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6、蓄电池间接线板、终端接头应选择导电性能优良的材料，并具有防腐蚀措施。蓄电池槽、盖、安全阀、极柱封口剂等材料应具有阻燃性。</w:t>
      </w:r>
    </w:p>
    <w:p w14:paraId="5AF5AE3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7、蓄电池应能承受50kPa的正压或负压而不破裂、不开胶，压力释放后壳体无残余变形；</w:t>
      </w:r>
    </w:p>
    <w:p w14:paraId="274781E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8、蓄电池组容量按YD/T 799-2010标准规定的方法测试：10H率放电以1.0I10放电至终止电压1.80V/单体，其放电容量应≥C10；3H率放电以2.5I10放电至终止电压1.80V/单体，其放电容量应≥0.75C10；1H率放电以5.5I10放电至终止电压1.75V/单体，其放电容量应≥0.55C10。</w:t>
      </w:r>
    </w:p>
    <w:p w14:paraId="2B0434B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9、大电流放电性能，以30I10的电流放电3min，极柱、内部汇流排不熔断，其外观不出现异常。</w:t>
      </w:r>
    </w:p>
    <w:p w14:paraId="1CC98E9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10、蓄电池静置28天后，其容量保存率应≥98.9%。（须提供泰尔证书以及报告证明材料）</w:t>
      </w:r>
    </w:p>
    <w:p w14:paraId="61F9DA3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11、蓄电池的密封反应效率应≥98.9%。（须提供泰尔证书以及报告证明材料）</w:t>
      </w:r>
    </w:p>
    <w:p w14:paraId="6B1915C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12、蓄电池使用期间安全阀应能自动开启闭合，闭阀压力应在10-15kPa范围内，开阀压力应在15-20kPa范围。（须提供泰尔证书以及报告证明材料）</w:t>
      </w:r>
    </w:p>
    <w:p w14:paraId="23D9A37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13、蓄电池需具有较强的耐过充电能力，完全充电后的电池以0.3I10连续充电160h后，外观应无明显变形及渗液。</w:t>
      </w:r>
    </w:p>
    <w:p w14:paraId="2532887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14、端电压均衡性：同一组蓄电池中任意两个电池的开路电压差应</w:t>
      </w:r>
      <w:bookmarkStart w:id="3" w:name="_Hlk192859791"/>
      <w:r>
        <w:rPr>
          <w:rFonts w:hint="eastAsia" w:ascii="宋体" w:hAnsi="宋体" w:eastAsia="宋体" w:cs="宋体"/>
          <w:sz w:val="24"/>
          <w:szCs w:val="24"/>
        </w:rPr>
        <w:t>≤</w:t>
      </w:r>
      <w:bookmarkEnd w:id="3"/>
      <w:r>
        <w:rPr>
          <w:rFonts w:hint="eastAsia" w:ascii="宋体" w:hAnsi="宋体" w:eastAsia="宋体" w:cs="宋体"/>
          <w:sz w:val="24"/>
          <w:szCs w:val="24"/>
        </w:rPr>
        <w:t>17mV；进入浮充状态24H后端电压应≤43mV；蓄电池放电后端电压≤205mV。（须提供泰尔证书以及报告证明材料）</w:t>
      </w:r>
    </w:p>
    <w:p w14:paraId="7531DE6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15、两个蓄电池之间连接条的压降，蓄电池按5.5I10放电时，测量相邻两只蓄电池之间的连接条压降应≤4.2mV。（须提供泰尔证书以及报告证明材料）</w:t>
      </w:r>
    </w:p>
    <w:p w14:paraId="0C396DC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16、蓄电池在充电过程中遇有明火，内部应不引燃、不引爆。</w:t>
      </w:r>
    </w:p>
    <w:p w14:paraId="4041465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17、蓄电池在-30℃和65℃时封口剂应无裂纹和溢流。</w:t>
      </w:r>
    </w:p>
    <w:p w14:paraId="19B118F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18、热失控敏感性：电池按YD/T 799-2010标准规定的方法测试，其蓄电池温度应≤29.3℃，每24h的电流增长率应≤13.5％。（须提供泰尔证书以及报告证明材料）</w:t>
      </w:r>
    </w:p>
    <w:p w14:paraId="7B06771D">
      <w:pPr>
        <w:spacing w:line="480" w:lineRule="exact"/>
        <w:ind w:firstLine="480" w:firstLineChars="200"/>
        <w:rPr>
          <w:rFonts w:hint="eastAsia" w:ascii="宋体" w:hAnsi="宋体" w:eastAsia="宋体" w:cs="宋体"/>
          <w:sz w:val="24"/>
          <w:szCs w:val="24"/>
        </w:rPr>
      </w:pPr>
      <w:bookmarkStart w:id="4" w:name="_Hlk192860474"/>
      <w:r>
        <w:rPr>
          <w:rFonts w:hint="eastAsia" w:ascii="宋体" w:hAnsi="宋体" w:eastAsia="宋体" w:cs="宋体"/>
          <w:sz w:val="24"/>
          <w:szCs w:val="24"/>
        </w:rPr>
        <w:t>19、过度放电：蓄电池按YD/T 799-2010标准规定的方法测试，其容量恢复值应≥97.8%.（须提供泰尔证书以及报告证明材料）</w:t>
      </w:r>
    </w:p>
    <w:bookmarkEnd w:id="4"/>
    <w:p w14:paraId="4DA7842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20、低温敏感性：蓄电池按YD/T 799-2010标准规定的方法测试，10H率容量应≥98.0%.（须提供泰尔证书以及报告证明材料）</w:t>
      </w:r>
    </w:p>
    <w:p w14:paraId="23E6D09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21、同组蓄电池内阻偏差应≤9.0%。（须提供泰尔证书以及报告证明材料）</w:t>
      </w:r>
    </w:p>
    <w:p w14:paraId="4CC8841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22、再充电性能，蓄电池按YD/T 799-2010标准规定的方法测试，恒压充电24h的再充电能力因素应≥95.8%。（须提供泰尔证书以及报告证明材料）</w:t>
      </w:r>
    </w:p>
    <w:p w14:paraId="7C8BB0F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23、容量一致性，同组蓄电池10h率容量试验时，最大实际容量与最小实际容量差值应≤1.4%。（须提供泰尔证书以及报告证明材料）。</w:t>
      </w:r>
    </w:p>
    <w:p w14:paraId="7EBA6B8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24、作为连接外界紧密的极柱(端子) 部位，经常受到安装扭力的施压，最容易引发漏液的部分，为机房整体安全考虑，电池极柱(端子) 部分有防漏液的设计(拒绝托盘防漏液的伪防漏液技术)，要求提供第三方证书复印件，原厂盖章确认。</w:t>
      </w:r>
    </w:p>
    <w:p w14:paraId="73574547">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26、蓄电池生产企业</w:t>
      </w:r>
      <w:r>
        <w:rPr>
          <w:rFonts w:hint="eastAsia" w:ascii="宋体" w:hAnsi="宋体" w:eastAsia="宋体" w:cs="宋体"/>
          <w:b/>
          <w:bCs/>
          <w:sz w:val="24"/>
          <w:szCs w:val="24"/>
          <w:u w:val="single"/>
        </w:rPr>
        <w:t>必须具备</w:t>
      </w:r>
      <w:r>
        <w:rPr>
          <w:rFonts w:hint="eastAsia" w:ascii="宋体" w:hAnsi="宋体" w:eastAsia="宋体" w:cs="宋体"/>
          <w:sz w:val="24"/>
          <w:szCs w:val="24"/>
          <w:u w:val="single"/>
        </w:rPr>
        <w:t>废旧电池回收资质，并提供相关资料，介绍对废旧电池的回收处理方式、各种资质、产能、清洁生产情况介绍等。</w:t>
      </w:r>
    </w:p>
    <w:p w14:paraId="38972492">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27、投标单位</w:t>
      </w:r>
      <w:r>
        <w:rPr>
          <w:rFonts w:hint="eastAsia" w:ascii="宋体" w:hAnsi="宋体" w:eastAsia="宋体" w:cs="宋体"/>
          <w:b/>
          <w:bCs/>
          <w:sz w:val="24"/>
          <w:szCs w:val="24"/>
          <w:u w:val="single"/>
        </w:rPr>
        <w:t>须出具</w:t>
      </w:r>
      <w:r>
        <w:rPr>
          <w:rFonts w:hint="eastAsia" w:ascii="宋体" w:hAnsi="宋体" w:eastAsia="宋体" w:cs="宋体"/>
          <w:sz w:val="24"/>
          <w:szCs w:val="24"/>
          <w:u w:val="single"/>
        </w:rPr>
        <w:t>制造厂家授予该项目相对应的产品《三年原厂质保证书》（原件并加盖厂家公章）。</w:t>
      </w:r>
    </w:p>
    <w:p w14:paraId="2BD1ED90">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28、投标单位</w:t>
      </w:r>
      <w:r>
        <w:rPr>
          <w:rFonts w:hint="eastAsia" w:ascii="宋体" w:hAnsi="宋体" w:eastAsia="宋体" w:cs="宋体"/>
          <w:b/>
          <w:bCs/>
          <w:sz w:val="24"/>
          <w:szCs w:val="24"/>
          <w:u w:val="single"/>
        </w:rPr>
        <w:t>须提供</w:t>
      </w:r>
      <w:r>
        <w:rPr>
          <w:rFonts w:hint="eastAsia" w:ascii="宋体" w:hAnsi="宋体" w:eastAsia="宋体" w:cs="宋体"/>
          <w:sz w:val="24"/>
          <w:szCs w:val="24"/>
          <w:u w:val="single"/>
        </w:rPr>
        <w:t>所投产品的公开彩页并由该产品制造厂家盖章。</w:t>
      </w:r>
    </w:p>
    <w:p w14:paraId="6DC17B0D">
      <w:pPr>
        <w:spacing w:line="4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u w:val="single"/>
        </w:rPr>
        <w:t>29、投标单位</w:t>
      </w:r>
      <w:r>
        <w:rPr>
          <w:rFonts w:hint="eastAsia" w:ascii="宋体" w:hAnsi="宋体" w:eastAsia="宋体" w:cs="宋体"/>
          <w:b/>
          <w:bCs/>
          <w:sz w:val="24"/>
          <w:szCs w:val="24"/>
          <w:u w:val="single"/>
          <w:lang w:eastAsia="zh-CN"/>
        </w:rPr>
        <w:t>须</w:t>
      </w:r>
      <w:r>
        <w:rPr>
          <w:rFonts w:hint="eastAsia" w:ascii="宋体" w:hAnsi="宋体" w:eastAsia="宋体" w:cs="宋体"/>
          <w:b/>
          <w:bCs/>
          <w:sz w:val="24"/>
          <w:szCs w:val="24"/>
          <w:u w:val="single"/>
        </w:rPr>
        <w:t>提供</w:t>
      </w:r>
      <w:r>
        <w:rPr>
          <w:rFonts w:hint="eastAsia" w:ascii="宋体" w:hAnsi="宋体" w:eastAsia="宋体" w:cs="宋体"/>
          <w:sz w:val="24"/>
          <w:szCs w:val="24"/>
          <w:u w:val="single"/>
        </w:rPr>
        <w:t>制造厂家的资质文件：ISO9001 、ISO14001、ISO45001、SA8000、CE-HST、UL94V-0电池壳阻燃测试报告、CNAS认证证书、TLC认证证书、碳排放认证证书、碳足迹证书、通过售后服务认证证书GBT27922。</w:t>
      </w:r>
    </w:p>
    <w:p w14:paraId="0C211772">
      <w:pPr>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30、质保期限不少于三年</w:t>
      </w:r>
    </w:p>
    <w:p w14:paraId="16664372">
      <w:pPr>
        <w:ind w:firstLine="480" w:firstLineChars="200"/>
        <w:rPr>
          <w:rFonts w:hint="eastAsia" w:ascii="宋体" w:hAnsi="宋体" w:eastAsia="宋体" w:cs="宋体"/>
          <w:sz w:val="24"/>
          <w:szCs w:val="24"/>
          <w:u w:val="single"/>
          <w:lang w:val="en-US" w:eastAsia="zh-CN"/>
        </w:rPr>
      </w:pPr>
    </w:p>
    <w:p w14:paraId="07BEE1D9">
      <w:pPr>
        <w:ind w:firstLine="480" w:firstLineChars="200"/>
        <w:rPr>
          <w:rFonts w:hint="eastAsia" w:ascii="宋体" w:hAnsi="宋体" w:eastAsia="宋体" w:cs="宋体"/>
          <w:sz w:val="24"/>
          <w:szCs w:val="24"/>
          <w:u w:val="single"/>
          <w:lang w:val="en-US" w:eastAsia="zh-CN"/>
        </w:rPr>
      </w:pPr>
    </w:p>
    <w:p w14:paraId="517EBC90">
      <w:pPr>
        <w:ind w:firstLine="480" w:firstLineChars="200"/>
        <w:rPr>
          <w:rFonts w:hint="eastAsia" w:ascii="宋体" w:hAnsi="宋体" w:eastAsia="宋体" w:cs="宋体"/>
          <w:sz w:val="24"/>
          <w:szCs w:val="24"/>
          <w:u w:val="single"/>
          <w:lang w:val="en-US" w:eastAsia="zh-CN"/>
        </w:rPr>
      </w:pPr>
    </w:p>
    <w:p w14:paraId="07192CE0">
      <w:pPr>
        <w:ind w:firstLine="480" w:firstLineChars="200"/>
        <w:rPr>
          <w:rFonts w:hint="eastAsia" w:ascii="宋体" w:hAnsi="宋体" w:eastAsia="宋体" w:cs="宋体"/>
          <w:sz w:val="24"/>
          <w:szCs w:val="24"/>
          <w:u w:val="single"/>
          <w:lang w:val="en-US" w:eastAsia="zh-CN"/>
        </w:rPr>
      </w:pPr>
    </w:p>
    <w:p w14:paraId="6776289B">
      <w:pPr>
        <w:ind w:firstLine="480" w:firstLineChars="200"/>
        <w:rPr>
          <w:rFonts w:hint="eastAsia" w:ascii="宋体" w:hAnsi="宋体" w:eastAsia="宋体" w:cs="宋体"/>
          <w:sz w:val="24"/>
          <w:szCs w:val="24"/>
          <w:u w:val="single"/>
          <w:lang w:val="en-US" w:eastAsia="zh-CN"/>
        </w:rPr>
      </w:pPr>
    </w:p>
    <w:p w14:paraId="73F5EDC0">
      <w:pPr>
        <w:ind w:firstLine="480" w:firstLineChars="200"/>
        <w:rPr>
          <w:rFonts w:hint="eastAsia" w:ascii="宋体" w:hAnsi="宋体" w:eastAsia="宋体" w:cs="宋体"/>
          <w:sz w:val="24"/>
          <w:szCs w:val="24"/>
          <w:u w:val="single"/>
          <w:lang w:val="en-US" w:eastAsia="zh-CN"/>
        </w:rPr>
      </w:pPr>
    </w:p>
    <w:p w14:paraId="15A2FD10">
      <w:pPr>
        <w:ind w:firstLine="480" w:firstLineChars="200"/>
        <w:rPr>
          <w:rFonts w:hint="eastAsia" w:ascii="宋体" w:hAnsi="宋体" w:eastAsia="宋体" w:cs="宋体"/>
          <w:sz w:val="24"/>
          <w:szCs w:val="24"/>
          <w:u w:val="single"/>
          <w:lang w:val="en-US" w:eastAsia="zh-CN"/>
        </w:rPr>
      </w:pPr>
    </w:p>
    <w:p w14:paraId="44A39A92">
      <w:pPr>
        <w:ind w:firstLine="480" w:firstLineChars="200"/>
        <w:rPr>
          <w:rFonts w:hint="eastAsia" w:ascii="宋体" w:hAnsi="宋体" w:eastAsia="宋体" w:cs="宋体"/>
          <w:sz w:val="24"/>
          <w:szCs w:val="24"/>
          <w:u w:val="single"/>
          <w:lang w:val="en-US" w:eastAsia="zh-CN"/>
        </w:rPr>
      </w:pPr>
    </w:p>
    <w:p w14:paraId="09457AB2">
      <w:pPr>
        <w:ind w:firstLine="480" w:firstLineChars="200"/>
        <w:rPr>
          <w:rFonts w:hint="eastAsia" w:ascii="宋体" w:hAnsi="宋体" w:eastAsia="宋体" w:cs="宋体"/>
          <w:sz w:val="24"/>
          <w:szCs w:val="24"/>
          <w:u w:val="single"/>
          <w:lang w:val="en-US" w:eastAsia="zh-CN"/>
        </w:rPr>
      </w:pPr>
    </w:p>
    <w:p w14:paraId="6D43EA5C">
      <w:pPr>
        <w:jc w:val="center"/>
        <w:rPr>
          <w:rFonts w:hint="eastAsia" w:eastAsia="宋体"/>
          <w:sz w:val="32"/>
          <w:szCs w:val="32"/>
          <w:lang w:eastAsia="zh-CN"/>
        </w:rPr>
      </w:pPr>
      <w:r>
        <w:rPr>
          <w:rFonts w:hint="eastAsia"/>
          <w:sz w:val="32"/>
          <w:szCs w:val="32"/>
          <w:lang w:eastAsia="zh-CN"/>
        </w:rPr>
        <w:t>供应商报价一览表</w:t>
      </w: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16"/>
        <w:gridCol w:w="625"/>
        <w:gridCol w:w="437"/>
        <w:gridCol w:w="4681"/>
        <w:gridCol w:w="1334"/>
      </w:tblGrid>
      <w:tr w14:paraId="1B0F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14:paraId="110C23F4">
            <w:pPr>
              <w:jc w:val="center"/>
              <w:rPr>
                <w:rFonts w:ascii="楷体" w:hAnsi="楷体" w:eastAsia="楷体"/>
              </w:rPr>
            </w:pPr>
            <w:r>
              <w:rPr>
                <w:rFonts w:hint="eastAsia" w:ascii="楷体" w:hAnsi="楷体" w:eastAsia="楷体"/>
              </w:rPr>
              <w:t>序号</w:t>
            </w:r>
          </w:p>
        </w:tc>
        <w:tc>
          <w:tcPr>
            <w:tcW w:w="1016" w:type="dxa"/>
            <w:noWrap w:val="0"/>
            <w:vAlign w:val="center"/>
          </w:tcPr>
          <w:p w14:paraId="4B781AEA">
            <w:pPr>
              <w:jc w:val="center"/>
              <w:rPr>
                <w:rFonts w:ascii="楷体" w:hAnsi="楷体" w:eastAsia="楷体"/>
              </w:rPr>
            </w:pPr>
            <w:r>
              <w:rPr>
                <w:rFonts w:hint="eastAsia" w:ascii="楷体" w:hAnsi="楷体" w:eastAsia="楷体"/>
              </w:rPr>
              <w:t>标项名称</w:t>
            </w:r>
          </w:p>
        </w:tc>
        <w:tc>
          <w:tcPr>
            <w:tcW w:w="625" w:type="dxa"/>
            <w:noWrap w:val="0"/>
            <w:vAlign w:val="center"/>
          </w:tcPr>
          <w:p w14:paraId="06C90AF7">
            <w:pPr>
              <w:jc w:val="center"/>
              <w:rPr>
                <w:rFonts w:ascii="楷体" w:hAnsi="楷体" w:eastAsia="楷体"/>
              </w:rPr>
            </w:pPr>
            <w:r>
              <w:rPr>
                <w:rFonts w:hint="eastAsia" w:ascii="楷体" w:hAnsi="楷体" w:eastAsia="楷体"/>
              </w:rPr>
              <w:t>数量</w:t>
            </w:r>
          </w:p>
        </w:tc>
        <w:tc>
          <w:tcPr>
            <w:tcW w:w="437" w:type="dxa"/>
            <w:noWrap w:val="0"/>
            <w:vAlign w:val="center"/>
          </w:tcPr>
          <w:p w14:paraId="728B3695">
            <w:pPr>
              <w:jc w:val="center"/>
              <w:rPr>
                <w:rFonts w:ascii="楷体" w:hAnsi="楷体" w:eastAsia="楷体"/>
              </w:rPr>
            </w:pPr>
            <w:r>
              <w:rPr>
                <w:rFonts w:hint="eastAsia" w:ascii="楷体" w:hAnsi="楷体" w:eastAsia="楷体"/>
              </w:rPr>
              <w:t>单位</w:t>
            </w:r>
          </w:p>
        </w:tc>
        <w:tc>
          <w:tcPr>
            <w:tcW w:w="4681" w:type="dxa"/>
            <w:noWrap w:val="0"/>
            <w:vAlign w:val="center"/>
          </w:tcPr>
          <w:p w14:paraId="2EC27F42">
            <w:pPr>
              <w:jc w:val="center"/>
              <w:rPr>
                <w:rFonts w:ascii="楷体" w:hAnsi="楷体" w:eastAsia="楷体"/>
              </w:rPr>
            </w:pPr>
            <w:r>
              <w:rPr>
                <w:rFonts w:hint="eastAsia" w:ascii="楷体" w:hAnsi="楷体" w:eastAsia="楷体"/>
              </w:rPr>
              <w:t>技术要求、用途</w:t>
            </w:r>
          </w:p>
        </w:tc>
        <w:tc>
          <w:tcPr>
            <w:tcW w:w="1334" w:type="dxa"/>
            <w:noWrap w:val="0"/>
            <w:vAlign w:val="center"/>
          </w:tcPr>
          <w:p w14:paraId="075AC900">
            <w:pPr>
              <w:jc w:val="center"/>
              <w:rPr>
                <w:rFonts w:hint="eastAsia" w:ascii="楷体" w:hAnsi="楷体" w:eastAsia="楷体"/>
                <w:lang w:eastAsia="zh-CN"/>
              </w:rPr>
            </w:pPr>
            <w:r>
              <w:rPr>
                <w:rFonts w:hint="eastAsia" w:ascii="楷体" w:hAnsi="楷体" w:eastAsia="楷体"/>
                <w:lang w:eastAsia="zh-CN"/>
              </w:rPr>
              <w:t>总金额（元）</w:t>
            </w:r>
          </w:p>
        </w:tc>
      </w:tr>
      <w:tr w14:paraId="6659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426" w:type="dxa"/>
            <w:noWrap w:val="0"/>
            <w:vAlign w:val="center"/>
          </w:tcPr>
          <w:p w14:paraId="60B46397">
            <w:pPr>
              <w:jc w:val="center"/>
              <w:rPr>
                <w:rFonts w:ascii="楷体" w:hAnsi="楷体" w:eastAsia="楷体"/>
              </w:rPr>
            </w:pPr>
            <w:r>
              <w:rPr>
                <w:rFonts w:hint="eastAsia" w:ascii="楷体" w:hAnsi="楷体" w:eastAsia="楷体"/>
              </w:rPr>
              <w:t>1</w:t>
            </w:r>
          </w:p>
        </w:tc>
        <w:tc>
          <w:tcPr>
            <w:tcW w:w="1016" w:type="dxa"/>
            <w:noWrap w:val="0"/>
            <w:vAlign w:val="center"/>
          </w:tcPr>
          <w:p w14:paraId="154D8719">
            <w:pPr>
              <w:jc w:val="center"/>
              <w:rPr>
                <w:rFonts w:hint="default" w:ascii="楷体" w:hAnsi="楷体" w:eastAsia="楷体"/>
                <w:lang w:val="en-US" w:eastAsia="zh-CN"/>
              </w:rPr>
            </w:pPr>
            <w:r>
              <w:rPr>
                <w:rFonts w:hint="eastAsia" w:ascii="楷体" w:hAnsi="楷体" w:eastAsia="楷体"/>
                <w:lang w:val="en-US" w:eastAsia="zh-CN"/>
              </w:rPr>
              <w:t>UPS主机采购</w:t>
            </w:r>
          </w:p>
        </w:tc>
        <w:tc>
          <w:tcPr>
            <w:tcW w:w="625" w:type="dxa"/>
            <w:noWrap w:val="0"/>
            <w:vAlign w:val="center"/>
          </w:tcPr>
          <w:p w14:paraId="306CCBE5">
            <w:pPr>
              <w:jc w:val="center"/>
              <w:rPr>
                <w:rFonts w:ascii="楷体" w:hAnsi="楷体" w:eastAsia="楷体"/>
              </w:rPr>
            </w:pPr>
            <w:r>
              <w:rPr>
                <w:rFonts w:hint="eastAsia" w:ascii="楷体" w:hAnsi="楷体" w:eastAsia="楷体"/>
              </w:rPr>
              <w:t>1</w:t>
            </w:r>
          </w:p>
        </w:tc>
        <w:tc>
          <w:tcPr>
            <w:tcW w:w="437" w:type="dxa"/>
            <w:noWrap w:val="0"/>
            <w:vAlign w:val="center"/>
          </w:tcPr>
          <w:p w14:paraId="724A10F4">
            <w:pPr>
              <w:jc w:val="center"/>
              <w:rPr>
                <w:rFonts w:ascii="楷体" w:hAnsi="楷体" w:eastAsia="楷体"/>
              </w:rPr>
            </w:pPr>
            <w:r>
              <w:rPr>
                <w:rFonts w:hint="eastAsia" w:ascii="楷体" w:hAnsi="楷体" w:eastAsia="楷体"/>
              </w:rPr>
              <w:t>台</w:t>
            </w:r>
          </w:p>
        </w:tc>
        <w:tc>
          <w:tcPr>
            <w:tcW w:w="4681" w:type="dxa"/>
            <w:noWrap w:val="0"/>
            <w:vAlign w:val="center"/>
          </w:tcPr>
          <w:p w14:paraId="2823785A">
            <w:pPr>
              <w:ind w:firstLine="240" w:firstLineChars="100"/>
              <w:rPr>
                <w:rFonts w:hint="default" w:ascii="楷体" w:hAnsi="楷体" w:eastAsia="楷体"/>
                <w:sz w:val="24"/>
                <w:szCs w:val="24"/>
                <w:lang w:val="en-US"/>
              </w:rPr>
            </w:pPr>
            <w:r>
              <w:rPr>
                <w:rFonts w:hint="eastAsia"/>
                <w:sz w:val="24"/>
                <w:szCs w:val="24"/>
                <w:lang w:eastAsia="zh-CN"/>
              </w:rPr>
              <w:t>符合需求参数表中的要求，无偏离。报价金额不高于</w:t>
            </w:r>
            <w:r>
              <w:rPr>
                <w:rFonts w:hint="eastAsia"/>
                <w:sz w:val="24"/>
                <w:szCs w:val="24"/>
                <w:lang w:val="en-US" w:eastAsia="zh-CN"/>
              </w:rPr>
              <w:t>13500元</w:t>
            </w:r>
          </w:p>
        </w:tc>
        <w:tc>
          <w:tcPr>
            <w:tcW w:w="1334" w:type="dxa"/>
            <w:noWrap w:val="0"/>
            <w:vAlign w:val="center"/>
          </w:tcPr>
          <w:p w14:paraId="5328751C">
            <w:pPr>
              <w:jc w:val="left"/>
              <w:rPr>
                <w:rFonts w:hint="eastAsia" w:ascii="楷体" w:hAnsi="楷体" w:eastAsia="楷体"/>
              </w:rPr>
            </w:pPr>
          </w:p>
        </w:tc>
      </w:tr>
      <w:tr w14:paraId="4935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26" w:type="dxa"/>
            <w:noWrap w:val="0"/>
            <w:vAlign w:val="center"/>
          </w:tcPr>
          <w:p w14:paraId="517ECB11">
            <w:pPr>
              <w:jc w:val="center"/>
              <w:rPr>
                <w:rFonts w:hint="eastAsia" w:ascii="楷体" w:hAnsi="楷体" w:eastAsia="楷体"/>
                <w:lang w:val="en-US" w:eastAsia="zh-CN"/>
              </w:rPr>
            </w:pPr>
            <w:r>
              <w:rPr>
                <w:rFonts w:hint="eastAsia" w:ascii="楷体" w:hAnsi="楷体" w:eastAsia="楷体"/>
                <w:lang w:val="en-US" w:eastAsia="zh-CN"/>
              </w:rPr>
              <w:t>2</w:t>
            </w:r>
          </w:p>
        </w:tc>
        <w:tc>
          <w:tcPr>
            <w:tcW w:w="1016" w:type="dxa"/>
            <w:noWrap w:val="0"/>
            <w:vAlign w:val="center"/>
          </w:tcPr>
          <w:p w14:paraId="49C95369">
            <w:pPr>
              <w:jc w:val="center"/>
              <w:rPr>
                <w:rFonts w:hint="default" w:ascii="楷体" w:hAnsi="楷体" w:eastAsia="楷体"/>
                <w:lang w:val="en-US" w:eastAsia="zh-CN"/>
              </w:rPr>
            </w:pPr>
            <w:r>
              <w:rPr>
                <w:rFonts w:hint="eastAsia" w:ascii="楷体" w:hAnsi="楷体" w:eastAsia="楷体"/>
                <w:lang w:val="en-US" w:eastAsia="zh-CN"/>
              </w:rPr>
              <w:t>UPS蓄电池采购</w:t>
            </w:r>
          </w:p>
        </w:tc>
        <w:tc>
          <w:tcPr>
            <w:tcW w:w="625" w:type="dxa"/>
            <w:noWrap w:val="0"/>
            <w:vAlign w:val="center"/>
          </w:tcPr>
          <w:p w14:paraId="5160B8B5">
            <w:pPr>
              <w:jc w:val="center"/>
              <w:rPr>
                <w:rFonts w:hint="default" w:ascii="楷体" w:hAnsi="楷体" w:eastAsia="楷体"/>
                <w:lang w:val="en-US" w:eastAsia="zh-CN"/>
              </w:rPr>
            </w:pPr>
            <w:r>
              <w:rPr>
                <w:rFonts w:hint="eastAsia" w:ascii="楷体" w:hAnsi="楷体" w:eastAsia="楷体"/>
                <w:lang w:val="en-US" w:eastAsia="zh-CN"/>
              </w:rPr>
              <w:t>157</w:t>
            </w:r>
          </w:p>
        </w:tc>
        <w:tc>
          <w:tcPr>
            <w:tcW w:w="437" w:type="dxa"/>
            <w:noWrap w:val="0"/>
            <w:vAlign w:val="center"/>
          </w:tcPr>
          <w:p w14:paraId="43005287">
            <w:pPr>
              <w:jc w:val="center"/>
              <w:rPr>
                <w:rFonts w:hint="eastAsia" w:ascii="楷体" w:hAnsi="楷体" w:eastAsia="楷体"/>
                <w:lang w:eastAsia="zh-CN"/>
              </w:rPr>
            </w:pPr>
            <w:r>
              <w:rPr>
                <w:rFonts w:hint="eastAsia" w:ascii="楷体" w:hAnsi="楷体" w:eastAsia="楷体"/>
                <w:lang w:eastAsia="zh-CN"/>
              </w:rPr>
              <w:t>节</w:t>
            </w:r>
          </w:p>
        </w:tc>
        <w:tc>
          <w:tcPr>
            <w:tcW w:w="4681" w:type="dxa"/>
            <w:noWrap w:val="0"/>
            <w:vAlign w:val="center"/>
          </w:tcPr>
          <w:p w14:paraId="173D18D5">
            <w:pPr>
              <w:ind w:firstLine="240" w:firstLineChars="100"/>
              <w:rPr>
                <w:rFonts w:hint="default" w:eastAsia="宋体"/>
                <w:sz w:val="24"/>
                <w:szCs w:val="24"/>
                <w:lang w:val="en-US" w:eastAsia="zh-CN"/>
              </w:rPr>
            </w:pPr>
            <w:r>
              <w:rPr>
                <w:rFonts w:hint="eastAsia"/>
                <w:sz w:val="24"/>
                <w:szCs w:val="24"/>
                <w:lang w:eastAsia="zh-CN"/>
              </w:rPr>
              <w:t>符合需求参数表中的要求，无偏离。新购蓄电池不高于</w:t>
            </w:r>
            <w:r>
              <w:rPr>
                <w:rFonts w:hint="eastAsia"/>
                <w:sz w:val="24"/>
                <w:szCs w:val="24"/>
                <w:lang w:val="en-US" w:eastAsia="zh-CN"/>
              </w:rPr>
              <w:t>800元/节即总金额不高于125600元</w:t>
            </w:r>
          </w:p>
        </w:tc>
        <w:tc>
          <w:tcPr>
            <w:tcW w:w="1334" w:type="dxa"/>
            <w:noWrap w:val="0"/>
            <w:vAlign w:val="center"/>
          </w:tcPr>
          <w:p w14:paraId="459E1761">
            <w:pPr>
              <w:jc w:val="left"/>
              <w:rPr>
                <w:rFonts w:hint="eastAsia" w:ascii="楷体" w:hAnsi="楷体" w:eastAsia="楷体"/>
              </w:rPr>
            </w:pPr>
          </w:p>
        </w:tc>
      </w:tr>
      <w:tr w14:paraId="2CA5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26" w:type="dxa"/>
            <w:noWrap w:val="0"/>
            <w:vAlign w:val="center"/>
          </w:tcPr>
          <w:p w14:paraId="2F940042">
            <w:pPr>
              <w:jc w:val="center"/>
              <w:rPr>
                <w:rFonts w:hint="default" w:ascii="楷体" w:hAnsi="楷体" w:eastAsia="楷体"/>
                <w:lang w:val="en-US" w:eastAsia="zh-CN"/>
              </w:rPr>
            </w:pPr>
            <w:r>
              <w:rPr>
                <w:rFonts w:hint="eastAsia" w:ascii="楷体" w:hAnsi="楷体" w:eastAsia="楷体"/>
                <w:lang w:val="en-US" w:eastAsia="zh-CN"/>
              </w:rPr>
              <w:t>3</w:t>
            </w:r>
          </w:p>
        </w:tc>
        <w:tc>
          <w:tcPr>
            <w:tcW w:w="1016" w:type="dxa"/>
            <w:noWrap w:val="0"/>
            <w:vAlign w:val="center"/>
          </w:tcPr>
          <w:p w14:paraId="2FD205BD">
            <w:pPr>
              <w:jc w:val="center"/>
              <w:rPr>
                <w:rFonts w:hint="eastAsia" w:ascii="楷体" w:hAnsi="楷体" w:eastAsia="楷体" w:cs="Times New Roman"/>
                <w:kern w:val="2"/>
                <w:sz w:val="21"/>
                <w:szCs w:val="24"/>
                <w:lang w:val="en-US" w:eastAsia="zh-CN" w:bidi="ar-SA"/>
              </w:rPr>
            </w:pPr>
            <w:r>
              <w:rPr>
                <w:rFonts w:hint="eastAsia" w:ascii="楷体" w:hAnsi="楷体" w:eastAsia="楷体"/>
                <w:lang w:val="en-US" w:eastAsia="zh-CN"/>
              </w:rPr>
              <w:t>UPS蓄电池回收</w:t>
            </w:r>
          </w:p>
        </w:tc>
        <w:tc>
          <w:tcPr>
            <w:tcW w:w="625" w:type="dxa"/>
            <w:noWrap w:val="0"/>
            <w:vAlign w:val="center"/>
          </w:tcPr>
          <w:p w14:paraId="0E017B45">
            <w:pPr>
              <w:jc w:val="center"/>
              <w:rPr>
                <w:rFonts w:hint="eastAsia" w:ascii="楷体" w:hAnsi="楷体" w:eastAsia="楷体" w:cs="Times New Roman"/>
                <w:kern w:val="2"/>
                <w:sz w:val="21"/>
                <w:szCs w:val="24"/>
                <w:lang w:val="en-US" w:eastAsia="zh-CN" w:bidi="ar-SA"/>
              </w:rPr>
            </w:pPr>
            <w:r>
              <w:rPr>
                <w:rFonts w:hint="eastAsia" w:ascii="楷体" w:hAnsi="楷体" w:eastAsia="楷体"/>
                <w:lang w:val="en-US" w:eastAsia="zh-CN"/>
              </w:rPr>
              <w:t>157</w:t>
            </w:r>
          </w:p>
        </w:tc>
        <w:tc>
          <w:tcPr>
            <w:tcW w:w="437" w:type="dxa"/>
            <w:noWrap w:val="0"/>
            <w:vAlign w:val="center"/>
          </w:tcPr>
          <w:p w14:paraId="6656ADD5">
            <w:pPr>
              <w:jc w:val="center"/>
              <w:rPr>
                <w:rFonts w:hint="eastAsia" w:ascii="楷体" w:hAnsi="楷体" w:eastAsia="楷体" w:cs="Times New Roman"/>
                <w:kern w:val="2"/>
                <w:sz w:val="21"/>
                <w:szCs w:val="24"/>
                <w:lang w:val="en-US" w:eastAsia="zh-CN" w:bidi="ar-SA"/>
              </w:rPr>
            </w:pPr>
            <w:r>
              <w:rPr>
                <w:rFonts w:hint="eastAsia" w:ascii="楷体" w:hAnsi="楷体" w:eastAsia="楷体"/>
                <w:lang w:eastAsia="zh-CN"/>
              </w:rPr>
              <w:t>节</w:t>
            </w:r>
          </w:p>
        </w:tc>
        <w:tc>
          <w:tcPr>
            <w:tcW w:w="4681" w:type="dxa"/>
            <w:noWrap w:val="0"/>
            <w:vAlign w:val="center"/>
          </w:tcPr>
          <w:p w14:paraId="292A14F0">
            <w:pPr>
              <w:ind w:firstLine="240" w:firstLineChars="100"/>
              <w:rPr>
                <w:rFonts w:hint="default"/>
                <w:sz w:val="24"/>
                <w:szCs w:val="24"/>
                <w:lang w:val="en-US" w:eastAsia="zh-CN"/>
              </w:rPr>
            </w:pPr>
            <w:r>
              <w:rPr>
                <w:rFonts w:hint="eastAsia"/>
                <w:sz w:val="24"/>
                <w:szCs w:val="24"/>
                <w:lang w:eastAsia="zh-CN"/>
              </w:rPr>
              <w:t>更换的蓄电池以旧换新进行回收，回收价不低于</w:t>
            </w:r>
            <w:r>
              <w:rPr>
                <w:rFonts w:hint="eastAsia"/>
                <w:sz w:val="24"/>
                <w:szCs w:val="24"/>
                <w:lang w:val="en-US" w:eastAsia="zh-CN"/>
              </w:rPr>
              <w:t>100元/节，即总金额不低于15700元。</w:t>
            </w:r>
          </w:p>
        </w:tc>
        <w:tc>
          <w:tcPr>
            <w:tcW w:w="1334" w:type="dxa"/>
            <w:noWrap w:val="0"/>
            <w:vAlign w:val="center"/>
          </w:tcPr>
          <w:p w14:paraId="402F211A">
            <w:pPr>
              <w:jc w:val="left"/>
              <w:rPr>
                <w:rFonts w:hint="eastAsia" w:ascii="楷体" w:hAnsi="楷体" w:eastAsia="楷体"/>
              </w:rPr>
            </w:pPr>
          </w:p>
        </w:tc>
      </w:tr>
      <w:tr w14:paraId="294C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067" w:type="dxa"/>
            <w:gridSpan w:val="3"/>
            <w:noWrap w:val="0"/>
            <w:vAlign w:val="center"/>
          </w:tcPr>
          <w:p w14:paraId="28BF016F">
            <w:pPr>
              <w:jc w:val="center"/>
              <w:rPr>
                <w:rFonts w:hint="eastAsia" w:ascii="楷体" w:hAnsi="楷体" w:eastAsia="楷体"/>
                <w:sz w:val="24"/>
                <w:szCs w:val="24"/>
                <w:lang w:eastAsia="zh-CN"/>
              </w:rPr>
            </w:pPr>
            <w:r>
              <w:rPr>
                <w:rFonts w:hint="eastAsia" w:ascii="楷体" w:hAnsi="楷体" w:eastAsia="楷体"/>
                <w:sz w:val="24"/>
                <w:szCs w:val="24"/>
                <w:lang w:eastAsia="zh-CN"/>
              </w:rPr>
              <w:t>金额合计（</w:t>
            </w:r>
            <w:r>
              <w:rPr>
                <w:rFonts w:hint="eastAsia" w:ascii="楷体" w:hAnsi="楷体" w:eastAsia="楷体"/>
                <w:sz w:val="24"/>
                <w:szCs w:val="24"/>
                <w:lang w:val="en-US" w:eastAsia="zh-CN"/>
              </w:rPr>
              <w:t>UPS主机+新蓄电池-旧蓄电池回收价</w:t>
            </w:r>
            <w:r>
              <w:rPr>
                <w:rFonts w:hint="eastAsia" w:ascii="楷体" w:hAnsi="楷体" w:eastAsia="楷体"/>
                <w:sz w:val="24"/>
                <w:szCs w:val="24"/>
                <w:lang w:eastAsia="zh-CN"/>
              </w:rPr>
              <w:t>）</w:t>
            </w:r>
          </w:p>
        </w:tc>
        <w:tc>
          <w:tcPr>
            <w:tcW w:w="6452" w:type="dxa"/>
            <w:gridSpan w:val="3"/>
            <w:noWrap w:val="0"/>
            <w:vAlign w:val="center"/>
          </w:tcPr>
          <w:p w14:paraId="29EFA1D8">
            <w:pPr>
              <w:jc w:val="left"/>
              <w:rPr>
                <w:rFonts w:hint="default" w:ascii="楷体" w:hAnsi="楷体" w:eastAsia="楷体"/>
                <w:sz w:val="24"/>
                <w:szCs w:val="24"/>
                <w:lang w:val="en-US" w:eastAsia="zh-CN"/>
              </w:rPr>
            </w:pPr>
            <w:r>
              <w:rPr>
                <w:rFonts w:hint="eastAsia" w:ascii="楷体" w:hAnsi="楷体" w:eastAsia="楷体"/>
                <w:sz w:val="24"/>
                <w:szCs w:val="24"/>
                <w:lang w:eastAsia="zh-CN"/>
              </w:rPr>
              <w:t>小写：</w:t>
            </w:r>
            <w:r>
              <w:rPr>
                <w:rFonts w:hint="eastAsia" w:ascii="楷体" w:hAnsi="楷体" w:eastAsia="楷体"/>
                <w:sz w:val="24"/>
                <w:szCs w:val="24"/>
                <w:u w:val="single"/>
                <w:lang w:eastAsia="zh-CN"/>
              </w:rPr>
              <w:t>￥</w:t>
            </w:r>
            <w:r>
              <w:rPr>
                <w:rFonts w:hint="eastAsia" w:ascii="楷体" w:hAnsi="楷体" w:eastAsia="楷体"/>
                <w:sz w:val="24"/>
                <w:szCs w:val="24"/>
                <w:u w:val="single"/>
                <w:lang w:val="en-US" w:eastAsia="zh-CN"/>
              </w:rPr>
              <w:t xml:space="preserve">      元</w:t>
            </w:r>
            <w:r>
              <w:rPr>
                <w:rFonts w:hint="eastAsia" w:ascii="楷体" w:hAnsi="楷体" w:eastAsia="楷体"/>
                <w:sz w:val="24"/>
                <w:szCs w:val="24"/>
                <w:u w:val="none"/>
                <w:lang w:val="en-US" w:eastAsia="zh-CN"/>
              </w:rPr>
              <w:t>；大写：</w:t>
            </w:r>
            <w:r>
              <w:rPr>
                <w:rFonts w:hint="eastAsia" w:ascii="楷体" w:hAnsi="楷体" w:eastAsia="楷体"/>
                <w:sz w:val="24"/>
                <w:szCs w:val="24"/>
                <w:u w:val="single"/>
                <w:lang w:val="en-US" w:eastAsia="zh-CN"/>
              </w:rPr>
              <w:t xml:space="preserve">                               </w:t>
            </w:r>
          </w:p>
        </w:tc>
      </w:tr>
    </w:tbl>
    <w:p w14:paraId="778E74BA"/>
    <w:p w14:paraId="6482A58D">
      <w:pPr>
        <w:spacing w:line="360" w:lineRule="auto"/>
        <w:ind w:firstLine="480" w:firstLineChars="200"/>
        <w:rPr>
          <w:rFonts w:hint="eastAsia"/>
          <w:sz w:val="24"/>
          <w:szCs w:val="24"/>
          <w:lang w:val="en-US" w:eastAsia="zh-CN"/>
        </w:rPr>
      </w:pPr>
      <w:r>
        <w:rPr>
          <w:rFonts w:hint="eastAsia"/>
          <w:sz w:val="24"/>
          <w:szCs w:val="24"/>
          <w:lang w:eastAsia="zh-CN"/>
        </w:rPr>
        <w:t>上述报价总金额（</w:t>
      </w:r>
      <w:r>
        <w:rPr>
          <w:rFonts w:hint="eastAsia"/>
          <w:b/>
          <w:bCs/>
          <w:sz w:val="24"/>
          <w:szCs w:val="24"/>
          <w:lang w:val="en-US" w:eastAsia="zh-CN"/>
        </w:rPr>
        <w:t>主机+新蓄电池—旧蓄电池回收</w:t>
      </w:r>
      <w:r>
        <w:rPr>
          <w:rFonts w:hint="eastAsia"/>
          <w:sz w:val="24"/>
          <w:szCs w:val="24"/>
          <w:lang w:eastAsia="zh-CN"/>
        </w:rPr>
        <w:t>）不得超过</w:t>
      </w:r>
      <w:r>
        <w:rPr>
          <w:rFonts w:hint="eastAsia"/>
          <w:sz w:val="24"/>
          <w:szCs w:val="24"/>
          <w:lang w:val="en-US" w:eastAsia="zh-CN"/>
        </w:rPr>
        <w:t>123400元。大小写不一致，以大写金额为准。</w:t>
      </w:r>
      <w:bookmarkStart w:id="5" w:name="OLE_LINK2"/>
      <w:r>
        <w:rPr>
          <w:rFonts w:hint="eastAsia"/>
          <w:sz w:val="24"/>
          <w:szCs w:val="24"/>
          <w:lang w:val="en-US" w:eastAsia="zh-CN"/>
        </w:rPr>
        <w:t>报价</w:t>
      </w:r>
      <w:bookmarkStart w:id="6" w:name="OLE_LINK1"/>
      <w:r>
        <w:rPr>
          <w:rFonts w:hint="eastAsia"/>
          <w:sz w:val="24"/>
          <w:szCs w:val="24"/>
          <w:lang w:val="en-US" w:eastAsia="zh-CN"/>
        </w:rPr>
        <w:t>包括货款、货物运费、安装调试、验收、培训、质保期内的售后服务、税费等。采购需求清单中未提到，但在实际采购和安装过程中需要配置的各种设备、材料和其他费用等均计入本次报价中。</w:t>
      </w:r>
      <w:bookmarkEnd w:id="5"/>
      <w:bookmarkEnd w:id="6"/>
    </w:p>
    <w:p w14:paraId="5F74B6CF">
      <w:pPr>
        <w:ind w:firstLine="480" w:firstLineChars="200"/>
        <w:rPr>
          <w:rFonts w:hint="eastAsia"/>
          <w:sz w:val="24"/>
          <w:szCs w:val="24"/>
          <w:lang w:val="en-US" w:eastAsia="zh-CN"/>
        </w:rPr>
      </w:pPr>
    </w:p>
    <w:p w14:paraId="48B99E29">
      <w:pPr>
        <w:ind w:firstLine="480" w:firstLineChars="200"/>
        <w:rPr>
          <w:rFonts w:hint="eastAsia"/>
          <w:sz w:val="24"/>
          <w:szCs w:val="24"/>
          <w:lang w:val="en-US" w:eastAsia="zh-CN"/>
        </w:rPr>
      </w:pPr>
    </w:p>
    <w:p w14:paraId="14F2F3D5">
      <w:pPr>
        <w:ind w:firstLine="480" w:firstLineChars="200"/>
        <w:rPr>
          <w:rFonts w:hint="eastAsia"/>
          <w:sz w:val="30"/>
          <w:szCs w:val="30"/>
          <w:u w:val="single"/>
          <w:lang w:val="en-US" w:eastAsia="zh-CN"/>
        </w:rPr>
      </w:pPr>
      <w:r>
        <w:rPr>
          <w:rFonts w:hint="eastAsia"/>
          <w:sz w:val="24"/>
          <w:szCs w:val="24"/>
          <w:lang w:val="en-US" w:eastAsia="zh-CN"/>
        </w:rPr>
        <w:t xml:space="preserve">             </w:t>
      </w:r>
      <w:r>
        <w:rPr>
          <w:rFonts w:hint="eastAsia"/>
          <w:sz w:val="30"/>
          <w:szCs w:val="30"/>
          <w:lang w:val="en-US" w:eastAsia="zh-CN"/>
        </w:rPr>
        <w:t>供应商名称（盖章）：</w:t>
      </w:r>
      <w:r>
        <w:rPr>
          <w:rFonts w:hint="eastAsia"/>
          <w:sz w:val="30"/>
          <w:szCs w:val="30"/>
          <w:u w:val="single"/>
          <w:lang w:val="en-US" w:eastAsia="zh-CN"/>
        </w:rPr>
        <w:t xml:space="preserve">                       </w:t>
      </w:r>
    </w:p>
    <w:p w14:paraId="01151F3E">
      <w:pPr>
        <w:ind w:firstLine="600" w:firstLineChars="200"/>
        <w:rPr>
          <w:rFonts w:hint="eastAsia"/>
          <w:sz w:val="30"/>
          <w:szCs w:val="30"/>
          <w:u w:val="single"/>
          <w:lang w:val="en-US" w:eastAsia="zh-CN"/>
        </w:rPr>
      </w:pPr>
      <w:r>
        <w:rPr>
          <w:rFonts w:hint="eastAsia"/>
          <w:sz w:val="30"/>
          <w:szCs w:val="30"/>
          <w:u w:val="none"/>
          <w:lang w:val="en-US" w:eastAsia="zh-CN"/>
        </w:rPr>
        <w:t xml:space="preserve">          联系人：</w:t>
      </w:r>
      <w:r>
        <w:rPr>
          <w:rFonts w:hint="eastAsia"/>
          <w:sz w:val="30"/>
          <w:szCs w:val="30"/>
          <w:u w:val="single"/>
          <w:lang w:val="en-US" w:eastAsia="zh-CN"/>
        </w:rPr>
        <w:t xml:space="preserve">                  </w:t>
      </w:r>
    </w:p>
    <w:p w14:paraId="17147153">
      <w:pPr>
        <w:ind w:firstLine="600" w:firstLineChars="200"/>
        <w:rPr>
          <w:rFonts w:hint="eastAsia" w:ascii="宋体" w:hAnsi="宋体" w:eastAsia="宋体" w:cs="宋体"/>
          <w:sz w:val="24"/>
          <w:szCs w:val="24"/>
          <w:u w:val="single"/>
          <w:lang w:val="en-US" w:eastAsia="zh-CN"/>
        </w:rPr>
      </w:pPr>
      <w:r>
        <w:rPr>
          <w:rFonts w:hint="eastAsia"/>
          <w:sz w:val="30"/>
          <w:szCs w:val="30"/>
          <w:u w:val="none"/>
          <w:lang w:val="en-US" w:eastAsia="zh-CN"/>
        </w:rPr>
        <w:t xml:space="preserve">          联系电话</w:t>
      </w:r>
      <w:r>
        <w:rPr>
          <w:rFonts w:hint="eastAsia"/>
          <w:sz w:val="30"/>
          <w:szCs w:val="30"/>
          <w:lang w:val="en-US" w:eastAsia="zh-CN"/>
        </w:rPr>
        <w:t>：</w:t>
      </w:r>
      <w:r>
        <w:rPr>
          <w:rFonts w:hint="eastAsia"/>
          <w:sz w:val="30"/>
          <w:szCs w:val="30"/>
          <w:u w:val="single"/>
          <w:lang w:val="en-US" w:eastAsia="zh-CN"/>
        </w:rPr>
        <w:t xml:space="preserve">                </w:t>
      </w:r>
      <w:r>
        <w:rPr>
          <w:rFonts w:hint="eastAsia"/>
          <w:sz w:val="30"/>
          <w:szCs w:val="30"/>
          <w:lang w:val="en-US" w:eastAsia="zh-CN"/>
        </w:rPr>
        <w:t xml:space="preserve">          </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01518"/>
    <w:multiLevelType w:val="singleLevel"/>
    <w:tmpl w:val="FEC0151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CA04AA"/>
    <w:rsid w:val="000145C7"/>
    <w:rsid w:val="00504F7C"/>
    <w:rsid w:val="005158B8"/>
    <w:rsid w:val="0057670B"/>
    <w:rsid w:val="00980B39"/>
    <w:rsid w:val="00B8544C"/>
    <w:rsid w:val="00D5333C"/>
    <w:rsid w:val="00E05E8D"/>
    <w:rsid w:val="00E945F6"/>
    <w:rsid w:val="00EB6F4E"/>
    <w:rsid w:val="11FD1190"/>
    <w:rsid w:val="18CA04AA"/>
    <w:rsid w:val="450B62DF"/>
    <w:rsid w:val="4E0F4E9D"/>
    <w:rsid w:val="5258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标题 2 Char"/>
    <w:basedOn w:val="7"/>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1810</Words>
  <Characters>2192</Characters>
  <Lines>16</Lines>
  <Paragraphs>4</Paragraphs>
  <TotalTime>0</TotalTime>
  <ScaleCrop>false</ScaleCrop>
  <LinksUpToDate>false</LinksUpToDate>
  <CharactersWithSpaces>2248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2025-05-12T00:19:00Z</dcterms:created>
  <dc:creator>王文初</dc:creator>
  <cp:lastModifiedBy>frank</cp:lastModifiedBy>
  <dcterms:modified xsi:type="dcterms:W3CDTF">2025-05-12T07:51:25Z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01A33464BA994F4DAD856B7451A22419_11</vt:lpwstr>
  </property>
  <property fmtid="{D5CDD505-2E9C-101B-9397-08002B2CF9AE}" pid="4" name="KSOTemplateDocerSaveRecord">
    <vt:lpwstr>eyJoZGlkIjoiOTBlNTljZDA5YThhYzVlZWNiNmIxOThkNTc3NmU5MDgiLCJ1c2VySWQiOiIxNDE4NDQzMjk1In0=</vt:lpwstr>
  </property>
</Properties>
</file>